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3042"/>
        </w:tabs>
        <w:spacing w:after="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center" w:leader="none" w:pos="3042"/>
        </w:tabs>
        <w:spacing w:after="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042"/>
        </w:tabs>
        <w:spacing w:after="0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Lettings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59" w:lineRule="auto"/>
        <w:ind w:left="-22" w:right="-454" w:firstLine="0"/>
        <w:jc w:val="left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5833872" cy="9144"/>
                <wp:effectExtent b="0" l="0" r="0" t="0"/>
                <wp:docPr id="69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9050" y="3775225"/>
                          <a:ext cx="5833872" cy="9144"/>
                          <a:chOff x="2429050" y="3775225"/>
                          <a:chExt cx="5833900" cy="9550"/>
                        </a:xfrm>
                      </wpg:grpSpPr>
                      <wpg:grpSp>
                        <wpg:cNvGrpSpPr/>
                        <wpg:grpSpPr>
                          <a:xfrm>
                            <a:off x="2429064" y="3775428"/>
                            <a:ext cx="5833872" cy="9144"/>
                            <a:chOff x="2429050" y="3775225"/>
                            <a:chExt cx="58339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29050" y="3775225"/>
                              <a:ext cx="58339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29064" y="3775428"/>
                              <a:ext cx="5833872" cy="9144"/>
                              <a:chOff x="0" y="0"/>
                              <a:chExt cx="5833872" cy="9144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5833850" cy="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833872" cy="9144"/>
                              </a:xfrm>
                              <a:custGeom>
                                <a:rect b="b" l="l" r="r" t="t"/>
                                <a:pathLst>
                                  <a:path extrusionOk="0" h="9144" w="5833872">
                                    <a:moveTo>
                                      <a:pt x="0" y="4572"/>
                                    </a:moveTo>
                                    <a:lnTo>
                                      <a:pt x="5833872" y="4572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1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33872" cy="9144"/>
                <wp:effectExtent b="0" l="0" r="0" t="0"/>
                <wp:docPr id="69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3872" cy="91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79" w:lineRule="auto"/>
        <w:ind w:left="22" w:hanging="22"/>
        <w:rPr/>
      </w:pPr>
      <w:r w:rsidDel="00000000" w:rsidR="00000000" w:rsidRPr="00000000">
        <w:rPr>
          <w:rtl w:val="0"/>
        </w:rPr>
        <w:t xml:space="preserve">This Policy applies to all new Allotment Plot lettings and is effective from the date the Policy is approved.</w:t>
      </w:r>
    </w:p>
    <w:p w:rsidR="00000000" w:rsidDel="00000000" w:rsidP="00000000" w:rsidRDefault="00000000" w:rsidRPr="00000000" w14:paraId="00000006">
      <w:pPr>
        <w:spacing w:after="15" w:lineRule="auto"/>
        <w:ind w:left="2" w:hanging="3"/>
        <w:jc w:val="left"/>
        <w:rPr/>
      </w:pPr>
      <w:r w:rsidDel="00000000" w:rsidR="00000000" w:rsidRPr="00000000">
        <w:rPr>
          <w:rtl w:val="0"/>
        </w:rPr>
        <w:t xml:space="preserve">(The words Plot, Allotment Garden and Allotment shall have the same meaning)</w:t>
      </w:r>
    </w:p>
    <w:p w:rsidR="00000000" w:rsidDel="00000000" w:rsidP="00000000" w:rsidRDefault="00000000" w:rsidRPr="00000000" w14:paraId="00000007">
      <w:pPr>
        <w:spacing w:after="378" w:lineRule="auto"/>
        <w:ind w:left="2" w:hanging="3"/>
        <w:jc w:val="left"/>
        <w:rPr/>
      </w:pPr>
      <w:r w:rsidDel="00000000" w:rsidR="00000000" w:rsidRPr="00000000">
        <w:rPr>
          <w:rtl w:val="0"/>
        </w:rPr>
        <w:t xml:space="preserve">(The reference to the Committee means the Letting Secretary, on their behalf. Unless the Lettings Secretary refers it to the Committee)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376" w:lineRule="auto"/>
        <w:ind w:left="700" w:hanging="701"/>
        <w:rPr/>
      </w:pPr>
      <w:r w:rsidDel="00000000" w:rsidR="00000000" w:rsidRPr="00000000">
        <w:rPr>
          <w:rtl w:val="0"/>
        </w:rPr>
        <w:t xml:space="preserve">Vacant allotments will be let as they become available, unless the Committee determines that their condition needs to be improved.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00" w:hanging="701"/>
        <w:rPr/>
      </w:pPr>
      <w:r w:rsidDel="00000000" w:rsidR="00000000" w:rsidRPr="00000000">
        <w:rPr>
          <w:rtl w:val="0"/>
        </w:rPr>
        <w:t xml:space="preserve">A new Tenant will be subject to a three-month probationary period from the time they sign the tenancy agreement. The Lettings Secretary has the flexibility to extend this period by 6 weeks. If no satisfactory improvement has been made to the plot in this period, the tenancy will cease. No rent, membership or maintenance fees will be refunded.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94" w:lineRule="auto"/>
        <w:ind w:left="700" w:hanging="701"/>
        <w:rPr/>
      </w:pPr>
      <w:r w:rsidDel="00000000" w:rsidR="00000000" w:rsidRPr="00000000">
        <w:rPr>
          <w:rtl w:val="0"/>
        </w:rPr>
        <w:t xml:space="preserve">Applicants for a plot will be initially shown the site and amenities after which their details will be recorded on a waiting list for a vacant plot.</w:t>
      </w:r>
      <w:r w:rsidDel="00000000" w:rsidR="00000000" w:rsidRPr="00000000">
        <w:rPr/>
        <w:drawing>
          <wp:inline distB="0" distT="0" distL="0" distR="0">
            <wp:extent cx="9144" cy="27432"/>
            <wp:effectExtent b="0" l="0" r="0" t="0"/>
            <wp:docPr id="691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38" w:line="236" w:lineRule="auto"/>
        <w:ind w:left="700" w:hanging="701"/>
        <w:rPr/>
      </w:pPr>
      <w:r w:rsidDel="00000000" w:rsidR="00000000" w:rsidRPr="00000000">
        <w:rPr>
          <w:rtl w:val="0"/>
        </w:rPr>
        <w:t xml:space="preserve">Viewings of the site will be completed with a prospective new tenant at a date and time convenient to the Lettings Secretary and a set of rules given at that time.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00" w:hanging="701"/>
        <w:rPr/>
      </w:pPr>
      <w:r w:rsidDel="00000000" w:rsidR="00000000" w:rsidRPr="00000000">
        <w:rPr>
          <w:rtl w:val="0"/>
        </w:rPr>
        <w:t xml:space="preserve">If a person does not accept a plot offered to them, but still wants to have a plot, they will remain on the waiting list. After being shown 3 plots, their name will be removed from the list. The person will be informed of this process at the time of viewing the site.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00" w:hanging="701"/>
        <w:rPr/>
      </w:pPr>
      <w:r w:rsidDel="00000000" w:rsidR="00000000" w:rsidRPr="00000000">
        <w:rPr>
          <w:rtl w:val="0"/>
        </w:rPr>
        <w:t xml:space="preserve">Whilst a waiting list exists, no vacant plot will be available to an existing Tenant as an additional plot.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00" w:hanging="701"/>
        <w:rPr/>
      </w:pPr>
      <w:r w:rsidDel="00000000" w:rsidR="00000000" w:rsidRPr="00000000">
        <w:rPr>
          <w:rtl w:val="0"/>
        </w:rPr>
        <w:t xml:space="preserve">A plot may be split into smaller plots at the discretion of the Committee and will be let as separate plots.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9" w:lineRule="auto"/>
        <w:ind w:left="700" w:hanging="701"/>
        <w:rPr/>
      </w:pPr>
      <w:r w:rsidDel="00000000" w:rsidR="00000000" w:rsidRPr="00000000">
        <w:rPr>
          <w:rtl w:val="0"/>
        </w:rPr>
        <w:t xml:space="preserve">Where a plot has been split to form smaller plots, the sub-plots;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397" w:hanging="345.99999999999994"/>
        <w:rPr/>
      </w:pPr>
      <w:r w:rsidDel="00000000" w:rsidR="00000000" w:rsidRPr="00000000">
        <w:rPr>
          <w:rtl w:val="0"/>
        </w:rPr>
        <w:t xml:space="preserve">will retain the same overall number but be designated A, B etc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397" w:hanging="345.99999999999994"/>
        <w:rPr/>
      </w:pPr>
      <w:r w:rsidDel="00000000" w:rsidR="00000000" w:rsidRPr="00000000">
        <w:rPr>
          <w:rtl w:val="0"/>
        </w:rPr>
        <w:t xml:space="preserve">will be recorded in the register of allotments along with their dimensions and the date of the change.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397" w:hanging="345.99999999999994"/>
        <w:rPr/>
      </w:pPr>
      <w:r w:rsidDel="00000000" w:rsidR="00000000" w:rsidRPr="00000000">
        <w:rPr>
          <w:rtl w:val="0"/>
        </w:rPr>
        <w:t xml:space="preserve">will share any paths and the tenants will be jointly responsible for the path's maintenance, security and safety.</w:t>
      </w:r>
    </w:p>
    <w:p w:rsidR="00000000" w:rsidDel="00000000" w:rsidP="00000000" w:rsidRDefault="00000000" w:rsidRPr="00000000" w14:paraId="00000013">
      <w:pPr>
        <w:ind w:left="1349" w:right="151" w:firstLine="0"/>
        <w:rPr/>
      </w:pPr>
      <w:r w:rsidDel="00000000" w:rsidR="00000000" w:rsidRPr="00000000">
        <w:rPr>
          <w:rtl w:val="0"/>
        </w:rPr>
        <w:t xml:space="preserve">d. will share any wells existing from the original plot. The Tenant of the plot on which the well is located will be responsible for its maintenance, security and safety.</w:t>
      </w:r>
    </w:p>
    <w:p w:rsidR="00000000" w:rsidDel="00000000" w:rsidP="00000000" w:rsidRDefault="00000000" w:rsidRPr="00000000" w14:paraId="00000014">
      <w:pPr>
        <w:ind w:left="700" w:firstLine="0"/>
        <w:rPr/>
      </w:pPr>
      <w:r w:rsidDel="00000000" w:rsidR="00000000" w:rsidRPr="00000000">
        <w:rPr>
          <w:rtl w:val="0"/>
        </w:rPr>
        <w:t xml:space="preserve">9. If an existing Tenant wishes to move to another plot, they may do so without going on the waiting list providing that;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1350" w:hanging="345.99999999999994"/>
        <w:rPr/>
      </w:pPr>
      <w:r w:rsidDel="00000000" w:rsidR="00000000" w:rsidRPr="00000000">
        <w:rPr>
          <w:rtl w:val="0"/>
        </w:rPr>
        <w:t xml:space="preserve">the request is made in writing, and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1" w:lineRule="auto"/>
        <w:ind w:left="1350" w:hanging="345.99999999999994"/>
        <w:rPr/>
      </w:pPr>
      <w:r w:rsidDel="00000000" w:rsidR="00000000" w:rsidRPr="00000000">
        <w:rPr>
          <w:rtl w:val="0"/>
        </w:rPr>
        <w:t xml:space="preserve">the Tenant has made satisfactory progress in cultivating and maintaining their current plot, and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8" w:lineRule="auto"/>
        <w:ind w:left="1350" w:hanging="345.99999999999994"/>
        <w:rPr/>
      </w:pPr>
      <w:r w:rsidDel="00000000" w:rsidR="00000000" w:rsidRPr="00000000">
        <w:rPr>
          <w:rtl w:val="0"/>
        </w:rPr>
        <w:t xml:space="preserve">the existing plot is left in an acceptable condition, as defined by the Committee, and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350" w:hanging="345.99999999999994"/>
        <w:rPr/>
      </w:pPr>
      <w:r w:rsidDel="00000000" w:rsidR="00000000" w:rsidRPr="00000000">
        <w:rPr>
          <w:rtl w:val="0"/>
        </w:rPr>
        <w:t xml:space="preserve">the move is approved by the Committee</w:t>
      </w:r>
    </w:p>
    <w:p w:rsidR="00000000" w:rsidDel="00000000" w:rsidP="00000000" w:rsidRDefault="00000000" w:rsidRPr="00000000" w14:paraId="00000019">
      <w:pPr>
        <w:spacing w:after="218" w:lineRule="auto"/>
        <w:ind w:left="622" w:firstLine="0"/>
        <w:rPr/>
      </w:pPr>
      <w:r w:rsidDel="00000000" w:rsidR="00000000" w:rsidRPr="00000000">
        <w:rPr/>
        <w:drawing>
          <wp:inline distB="0" distT="0" distL="0" distR="0">
            <wp:extent cx="4572" cy="36576"/>
            <wp:effectExtent b="0" l="0" r="0" t="0"/>
            <wp:docPr id="691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10. Where a person has previously been evicted from the site, they will be prohibited for 5 years from taking a plot on the site. </w:t>
      </w:r>
      <w:r w:rsidDel="00000000" w:rsidR="00000000" w:rsidRPr="00000000">
        <w:rPr/>
        <w:drawing>
          <wp:inline distB="0" distT="0" distL="0" distR="0">
            <wp:extent cx="4572" cy="4572"/>
            <wp:effectExtent b="0" l="0" r="0" t="0"/>
            <wp:docPr id="69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77" w:line="216" w:lineRule="auto"/>
        <w:ind w:left="673" w:hanging="338"/>
        <w:jc w:val="left"/>
        <w:rPr/>
      </w:pPr>
      <w:r w:rsidDel="00000000" w:rsidR="00000000" w:rsidRPr="00000000">
        <w:rPr>
          <w:rtl w:val="0"/>
        </w:rPr>
        <w:t xml:space="preserve">Should the Tenant die, the tenancy of the plot may be transferred to a member attached to the plot providing they have been attached to the plot for a period of at least 6 months prior to the Tenant's death and the Committee are in agreement.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1007" w:lineRule="auto"/>
        <w:ind w:left="673" w:hanging="338"/>
        <w:jc w:val="left"/>
        <w:rPr/>
      </w:pPr>
      <w:r w:rsidDel="00000000" w:rsidR="00000000" w:rsidRPr="00000000">
        <w:rPr>
          <w:rtl w:val="0"/>
        </w:rPr>
        <w:t xml:space="preserve">The decision of the Committee is final.</w:t>
      </w:r>
    </w:p>
    <w:tbl>
      <w:tblPr>
        <w:tblStyle w:val="Table1"/>
        <w:tblW w:w="8720.0" w:type="dxa"/>
        <w:jc w:val="left"/>
        <w:tblInd w:w="-40.0" w:type="dxa"/>
        <w:tblLayout w:type="fixed"/>
        <w:tblLook w:val="0400"/>
      </w:tblPr>
      <w:tblGrid>
        <w:gridCol w:w="1859"/>
        <w:gridCol w:w="3956"/>
        <w:gridCol w:w="2905"/>
        <w:tblGridChange w:id="0">
          <w:tblGrid>
            <w:gridCol w:w="1859"/>
            <w:gridCol w:w="3956"/>
            <w:gridCol w:w="2905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left="7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Position: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16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40" w:lineRule="auto"/>
        <w:ind w:left="-50" w:firstLine="0"/>
        <w:jc w:val="left"/>
        <w:rPr/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3790188" cy="9144"/>
                <wp:effectExtent b="0" l="0" r="0" t="0"/>
                <wp:docPr id="69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0900" y="3775225"/>
                          <a:ext cx="3790188" cy="9144"/>
                          <a:chOff x="3450900" y="3775225"/>
                          <a:chExt cx="3790200" cy="9550"/>
                        </a:xfrm>
                      </wpg:grpSpPr>
                      <wpg:grpSp>
                        <wpg:cNvGrpSpPr/>
                        <wpg:grpSpPr>
                          <a:xfrm>
                            <a:off x="3450906" y="3775428"/>
                            <a:ext cx="3790188" cy="9144"/>
                            <a:chOff x="3450900" y="3775225"/>
                            <a:chExt cx="3790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450900" y="3775225"/>
                              <a:ext cx="3790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0906" y="3775428"/>
                              <a:ext cx="3790188" cy="9144"/>
                              <a:chOff x="0" y="0"/>
                              <a:chExt cx="3790188" cy="91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3790175" cy="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3790188" cy="9144"/>
                              </a:xfrm>
                              <a:custGeom>
                                <a:rect b="b" l="l" r="r" t="t"/>
                                <a:pathLst>
                                  <a:path extrusionOk="0" h="9144" w="3790188">
                                    <a:moveTo>
                                      <a:pt x="0" y="4572"/>
                                    </a:moveTo>
                                    <a:lnTo>
                                      <a:pt x="3790188" y="4572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1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90188" cy="9144"/>
                <wp:effectExtent b="0" l="0" r="0" t="0"/>
                <wp:docPr id="69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188" cy="91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right="1001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733" w:w="12197" w:orient="portrait"/>
      <w:pgMar w:bottom="1198" w:top="985" w:left="1591" w:right="18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48" w:right="0" w:hanging="348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823903" cy="762000"/>
          <wp:effectExtent b="0" l="0" r="0" t="0"/>
          <wp:docPr descr="Text&#10;&#10;Description automatically generated" id="6920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3903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1" w:hanging="70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97" w:hanging="13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34" w:hanging="213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54" w:hanging="285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574" w:hanging="357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294" w:hanging="429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14" w:hanging="501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34" w:hanging="573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54" w:hanging="6454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350" w:hanging="135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2029" w:hanging="202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749" w:hanging="274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469" w:hanging="346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189" w:hanging="418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909" w:hanging="490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629" w:hanging="562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349" w:hanging="634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069" w:hanging="7069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1"/>
      <w:numFmt w:val="decimal"/>
      <w:lvlText w:val="%1."/>
      <w:lvlJc w:val="left"/>
      <w:pPr>
        <w:ind w:left="673" w:hanging="67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43" w:hanging="134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63" w:hanging="20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83" w:hanging="27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503" w:hanging="350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223" w:hanging="422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43" w:hanging="494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63" w:hanging="56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83" w:hanging="63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after="239" w:line="259" w:lineRule="auto"/>
        <w:ind w:left="34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18" w:right="0" w:hanging="1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000000"/>
      <w:sz w:val="40"/>
    </w:r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73C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CE2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873C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CE2"/>
    <w:rPr>
      <w:rFonts w:ascii="Calibri" w:cs="Calibri" w:eastAsia="Calibri" w:hAnsi="Calibri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65.0" w:type="dxa"/>
        <w:left w:w="112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5.0" w:type="dxa"/>
        <w:left w:w="112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o/uask7bRSVmrfadksiH7R0oA==">CgMxLjA4AHIhMVgtNmZwbngzZ1ZuaGNubUNrRVcwTDVteGg5b0V4UHcy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2025-03-17T16:38:00Z</dcterms:created>
  <dc:creator>Philip Limbert</dc:creator>
</cp:coreProperties>
</file>