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" w:line="249" w:lineRule="auto"/>
        <w:ind w:left="79" w:right="238" w:firstLine="4.000000000000003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0" w:line="240" w:lineRule="auto"/>
        <w:ind w:left="-50" w:firstLine="0"/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3240"/>
        </w:tabs>
        <w:spacing w:after="9" w:before="0" w:line="250" w:lineRule="auto"/>
        <w:ind w:firstLine="348"/>
        <w:jc w:val="center"/>
        <w:rPr>
          <w:sz w:val="34"/>
          <w:szCs w:val="34"/>
          <w:u w:val="single"/>
        </w:rPr>
      </w:pPr>
      <w:r w:rsidDel="00000000" w:rsidR="00000000" w:rsidRPr="00000000">
        <w:rPr>
          <w:sz w:val="34"/>
          <w:szCs w:val="34"/>
          <w:u w:val="single"/>
          <w:rtl w:val="0"/>
        </w:rPr>
        <w:t xml:space="preserve">Termination Policy</w:t>
      </w:r>
    </w:p>
    <w:p w:rsidR="00000000" w:rsidDel="00000000" w:rsidP="00000000" w:rsidRDefault="00000000" w:rsidRPr="00000000" w14:paraId="00000004">
      <w:pPr>
        <w:spacing w:after="0" w:before="0" w:line="228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17" w:hanging="1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The words Plot, Allotment Garden and Allotment shall have the same meaning.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13" w:before="0" w:line="240" w:lineRule="auto"/>
        <w:ind w:firstLine="34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41" w:before="0" w:line="254" w:lineRule="auto"/>
        <w:ind w:left="21" w:right="36" w:hanging="1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Where a Tenant allows their plot to become overgrown, in a poor condition, or has insufficient area of cultivation, they will be subject to this Termination Policy.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41" w:before="0" w:line="254" w:lineRule="auto"/>
        <w:ind w:left="21" w:right="36" w:hanging="1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Proven acts of theft from an allotment will result in instant termination of the offender and surrender of their gate key/fob. They will have 7 days to clear their possessions under supervision.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5" w:before="0" w:line="228" w:lineRule="auto"/>
        <w:ind w:left="2" w:hanging="1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process is in two stages: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5" w:before="0" w:line="228" w:lineRule="auto"/>
        <w:ind w:left="2" w:hanging="1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" w:before="0" w:line="250" w:lineRule="auto"/>
        <w:ind w:left="370" w:hanging="2.999999999999971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Stage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7" w:before="0" w:line="250" w:lineRule="auto"/>
        <w:ind w:left="370" w:hanging="2.999999999999971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The Tenant will be sent a letter giving them one month's Notice to make significant improvements to his/her Plot.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350" w:before="0" w:line="250" w:lineRule="auto"/>
        <w:ind w:left="370" w:hanging="2.999999999999971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However, if within 21 days the Tenant makes a significant improvement, following an inspection by Committee members, the notice may be rescinded.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50" w:before="0" w:line="250" w:lineRule="auto"/>
        <w:ind w:left="370" w:hanging="2.999999999999971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If the Termination of Tenancy Notice remains in force the Tenant will have ten days to remove their produce and/or belongings.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3" w:before="0" w:line="250" w:lineRule="auto"/>
        <w:ind w:left="370" w:hanging="2.999999999999971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Stage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350" w:before="0" w:line="250" w:lineRule="auto"/>
        <w:ind w:left="370" w:right="137" w:hanging="2.999999999999971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Where, in the same calendar year, the Tenant again allows their plot to be in poor condition, or fails to comply with the rules, a Notice of Termination will be sent and will not be rescinded.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20" w:before="0" w:line="250" w:lineRule="auto"/>
        <w:ind w:left="370" w:hanging="2.999999999999971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Where, in the following calendar year, the Tenant again allows their plot to get into poor condition, or fails to comply with the rules, stage 1 will be repeated.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50" w:before="0" w:line="250" w:lineRule="auto"/>
        <w:ind w:left="370" w:hanging="2.999999999999971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Where a Tenant, for a third consecutive year, allows their plot to get into poor condition or fails to comply with the rules and a Termination of Tenancy Notice is sent to the Tenant, it will not be rescinded.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138" w:before="0" w:line="250" w:lineRule="auto"/>
        <w:ind w:left="370" w:hanging="2.999999999999971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The Committee's decision is final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40" w:top="1440" w:left="1440" w:right="144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348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5710555" cy="789305"/>
          <wp:effectExtent b="0" l="0" r="0" t="0"/>
          <wp:docPr descr="Graphical user interface&#10;&#10;Description automatically generated" id="3" name="image1.png"/>
          <a:graphic>
            <a:graphicData uri="http://schemas.openxmlformats.org/drawingml/2006/picture">
              <pic:pic>
                <pic:nvPicPr>
                  <pic:cNvPr descr="Graphical user interface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0555" cy="789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5710555" cy="789305"/>
          <wp:effectExtent b="0" l="0" r="0" t="0"/>
          <wp:docPr descr="Graphical user interface&#10;&#10;Description automatically generated" id="4" name="image1.png"/>
          <a:graphic>
            <a:graphicData uri="http://schemas.openxmlformats.org/drawingml/2006/picture">
              <pic:pic>
                <pic:nvPicPr>
                  <pic:cNvPr descr="Graphical user interface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0555" cy="789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239" w:line="259" w:lineRule="auto"/>
        <w:ind w:left="348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eaderChar" w:customStyle="1">
    <w:name w:val="Header Char"/>
    <w:basedOn w:val="DefaultParagraphFont"/>
    <w:link w:val="Header"/>
    <w:uiPriority w:val="99"/>
    <w:qFormat w:val="1"/>
    <w:rsid w:val="00EC523B"/>
    <w:rPr>
      <w:rFonts w:ascii="Calibri" w:cs="Calibri" w:eastAsia="Calibri" w:hAnsi="Calibri"/>
      <w:color w:val="000000"/>
      <w:lang w:eastAsia="en-GB"/>
    </w:rPr>
  </w:style>
  <w:style w:type="character" w:styleId="FooterChar" w:customStyle="1">
    <w:name w:val="Footer Char"/>
    <w:basedOn w:val="DefaultParagraphFont"/>
    <w:link w:val="Footer"/>
    <w:uiPriority w:val="99"/>
    <w:qFormat w:val="1"/>
    <w:rsid w:val="00EC523B"/>
    <w:rPr>
      <w:rFonts w:ascii="Calibri" w:cs="Calibri" w:eastAsia="Calibri" w:hAnsi="Calibri"/>
      <w:color w:val="000000"/>
      <w:lang w:eastAsia="en-GB"/>
    </w:rPr>
  </w:style>
  <w:style w:type="paragraph" w:styleId="Heading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bidi w:val="0"/>
      <w:spacing w:after="239" w:before="0" w:line="259" w:lineRule="auto"/>
      <w:ind w:start="348"/>
      <w:jc w:val="both"/>
    </w:pPr>
    <w:rPr>
      <w:rFonts w:ascii="Calibri" w:cs="Calibri" w:eastAsia="Calibri" w:hAnsi="Calibri"/>
      <w:color w:val="auto"/>
      <w:kern w:val="0"/>
      <w:sz w:val="24"/>
      <w:szCs w:val="24"/>
      <w:lang w:bidi="hi-IN" w:eastAsia="zh-CN" w:val="en-US"/>
    </w:rPr>
  </w:style>
  <w:style w:type="paragraph" w:styleId="ListParagraph">
    <w:name w:val="List Paragraph"/>
    <w:basedOn w:val="normal1"/>
    <w:uiPriority w:val="34"/>
    <w:qFormat w:val="1"/>
    <w:rsid w:val="00EC523B"/>
    <w:pPr>
      <w:spacing w:after="239" w:before="0"/>
      <w:ind w:start="720"/>
      <w:contextualSpacing w:val="1"/>
    </w:pPr>
    <w:rPr/>
  </w:style>
  <w:style w:type="paragraph" w:styleId="HeaderandFooter">
    <w:name w:val="Header and Footer"/>
    <w:basedOn w:val="Normal"/>
    <w:qFormat w:val="1"/>
    <w:pPr/>
    <w:rPr/>
  </w:style>
  <w:style w:type="paragraph" w:styleId="Header">
    <w:name w:val="header"/>
    <w:basedOn w:val="normal1"/>
    <w:link w:val="HeaderChar"/>
    <w:uiPriority w:val="99"/>
    <w:unhideWhenUsed w:val="1"/>
    <w:rsid w:val="00EC523B"/>
    <w:pPr>
      <w:tabs>
        <w:tab w:val="clear" w:pos="720"/>
        <w:tab w:val="center" w:leader="none" w:pos="4513"/>
        <w:tab w:val="right" w:leader="none" w:pos="9026"/>
      </w:tabs>
      <w:spacing w:after="0" w:before="0" w:line="240" w:lineRule="auto"/>
    </w:pPr>
    <w:rPr/>
  </w:style>
  <w:style w:type="paragraph" w:styleId="Footer">
    <w:name w:val="footer"/>
    <w:basedOn w:val="normal1"/>
    <w:link w:val="FooterChar"/>
    <w:uiPriority w:val="99"/>
    <w:unhideWhenUsed w:val="1"/>
    <w:rsid w:val="00EC523B"/>
    <w:pPr>
      <w:tabs>
        <w:tab w:val="clear" w:pos="720"/>
        <w:tab w:val="center" w:leader="none" w:pos="4513"/>
        <w:tab w:val="right" w:leader="none" w:pos="9026"/>
      </w:tabs>
      <w:spacing w:after="0" w:before="0" w:line="240" w:lineRule="auto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" w:customStyle="1">
    <w:name w:val="TableGrid"/>
    <w:rsid w:val="00EC523B"/>
    <w:rPr>
      <w:rFonts w:eastAsiaTheme="minorEastAsia"/>
      <w:lang w:eastAsia="en-GB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9JuhtcV++jdKVenDUg0Lg1xBGA==">CgMxLjA4AHIhMTJwbk9ldHJKNkNObHVVNmE1R0VIZTU1TTA4X2NzUzRX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2026-01-14T11:14:00Z</dcterms:created>
  <dc:creator>Philip Limbert</dc:creator>
</cp:coreProperties>
</file>